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6"/>
          <w:szCs w:val="28"/>
        </w:rPr>
      </w:pPr>
      <w:r>
        <w:rPr>
          <w:rFonts w:hint="eastAsia" w:ascii="华文中宋" w:hAnsi="华文中宋" w:eastAsia="华文中宋"/>
          <w:b/>
          <w:bCs/>
          <w:sz w:val="36"/>
          <w:szCs w:val="28"/>
        </w:rPr>
        <w:t>“校训中的南航精神”</w:t>
      </w:r>
    </w:p>
    <w:p>
      <w:pPr>
        <w:jc w:val="center"/>
        <w:rPr>
          <w:rFonts w:hint="eastAsia" w:ascii="华文中宋" w:hAnsi="华文中宋" w:eastAsia="华文中宋"/>
          <w:b/>
          <w:bCs/>
          <w:sz w:val="36"/>
          <w:szCs w:val="28"/>
        </w:rPr>
      </w:pPr>
      <w:r>
        <w:rPr>
          <w:rFonts w:hint="eastAsia" w:ascii="华文中宋" w:hAnsi="华文中宋" w:eastAsia="华文中宋"/>
          <w:b/>
          <w:bCs/>
          <w:sz w:val="36"/>
          <w:szCs w:val="28"/>
        </w:rPr>
        <w:t>文化系列艺术作品联展</w:t>
      </w:r>
    </w:p>
    <w:p>
      <w:pPr>
        <w:jc w:val="center"/>
        <w:rPr>
          <w:rFonts w:hint="default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/>
        </w:rPr>
      </w:pPr>
      <w:r>
        <w:rPr>
          <w:rFonts w:hint="eastAsia" w:ascii="华文中宋" w:hAnsi="华文中宋" w:eastAsia="华文中宋"/>
          <w:b/>
          <w:bCs/>
          <w:sz w:val="36"/>
          <w:szCs w:val="28"/>
          <w:lang w:val="en-US" w:eastAsia="zh-CN"/>
        </w:rPr>
        <w:t>征稿启事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" w:firstLineChars="20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为深入贯彻落实习近平新时代中国特色社会主义思想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学习贯彻党的十九大和校十六次党代会精神，强化文化自信，突出文化引领，在“双一流”建设的进程中，结合艺术学院专业特色，进一步繁荣校园文化，厚植爱国、爱校情怀，激发广大师生“爱南航、爱艺术、爱生活、爱事业”的情怀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艺术学院决定组织开展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“校训中的南航精神”文化系列艺术作品联展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Style w:val="7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fill="FFFFFF"/>
        </w:rPr>
        <w:t>一、主办单位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" w:firstLineChars="200"/>
        <w:jc w:val="both"/>
        <w:rPr>
          <w:rFonts w:hint="default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南京航空航天大学艺术学院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b/>
          <w:bCs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Microsoft YaHei UI" w:hAnsi="Microsoft YaHei UI" w:eastAsia="Microsoft YaHei UI" w:cs="Microsoft YaHei UI"/>
          <w:b/>
          <w:bCs w:val="0"/>
          <w:i w:val="0"/>
          <w:caps w:val="0"/>
          <w:color w:val="333333"/>
          <w:spacing w:val="8"/>
          <w:sz w:val="24"/>
          <w:szCs w:val="24"/>
          <w:shd w:val="clear" w:fill="FFFFFF"/>
        </w:rPr>
        <w:t>二、征</w:t>
      </w:r>
      <w:r>
        <w:rPr>
          <w:rFonts w:hint="eastAsia" w:ascii="Microsoft YaHei UI" w:hAnsi="Microsoft YaHei UI" w:eastAsia="Microsoft YaHei UI" w:cs="Microsoft YaHei UI"/>
          <w:b/>
          <w:bCs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稿范围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" w:firstLineChars="20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由南京航空航天大学师生、校友围绕校训“智周万物，道济天下”主题创作并完成的各类能够体现南航精神的相关文艺作品，创作形式包括水彩、水粉、油画、速写、国画、陶瓷、书法、设计、摄影、摄像、纪录片、音乐、舞蹈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Style w:val="7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fill="FFFFFF"/>
        </w:rPr>
        <w:t>三、征稿要求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" w:firstLineChars="20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申报作品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可独立完成，也可与他人合作完成，每名申报者申报作品不超过两件。申报作品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需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主题鲜明，内容健康、积极向上，要突出思想性、艺术性和观赏性，做到富有感染力、充满正能量。作品原则上须含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南航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元素，最好能反映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南航师生在新时代背景下展现出的南航精神等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方面的内容。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Style w:val="7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fill="FFFFFF"/>
        </w:rPr>
        <w:t>四、稿件规格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" w:firstLineChars="20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美术、书法投寄作品原件，无需装裱。美术作品单幅作品最长边不能超过2米；书法要求竖式作品，尺寸为六尺整张以内；摄影作品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和设计作品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报送电子稿，要求为JPG格式，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并提供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原始数据文件（原始数据电子文件或一次拍摄完成的负片或反转片）；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音乐和舞蹈作品以视频形式呈现，所有视频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作品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需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报送光盘（或U盘）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；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其他类型作品无特殊规格要求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eastAsia="Microsoft YaHei UI"/>
          <w:lang w:eastAsia="zh-CN"/>
        </w:rPr>
      </w:pPr>
      <w:r>
        <w:rPr>
          <w:rStyle w:val="7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fill="FFFFFF"/>
        </w:rPr>
        <w:t>五、</w:t>
      </w:r>
      <w:r>
        <w:rPr>
          <w:rStyle w:val="7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作品评审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" w:firstLineChars="20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caps w:val="0"/>
          <w:color w:val="333333"/>
          <w:spacing w:val="8"/>
          <w:sz w:val="24"/>
          <w:szCs w:val="24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caps w:val="0"/>
          <w:color w:val="333333"/>
          <w:spacing w:val="8"/>
          <w:sz w:val="24"/>
          <w:szCs w:val="24"/>
          <w:shd w:val="clear" w:fill="FFFFFF"/>
        </w:rPr>
        <w:t>根据作品申报情况，</w:t>
      </w: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15"/>
          <w:sz w:val="25"/>
          <w:szCs w:val="25"/>
          <w:shd w:val="clear" w:fill="FFFFFF"/>
        </w:rPr>
        <w:t>由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5"/>
          <w:szCs w:val="25"/>
          <w:shd w:val="clear" w:fill="FFFFFF"/>
          <w:lang w:val="en-US" w:eastAsia="zh-CN"/>
        </w:rPr>
        <w:t>艺术学院</w:t>
      </w: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15"/>
          <w:sz w:val="25"/>
          <w:szCs w:val="25"/>
          <w:shd w:val="clear" w:fill="FFFFFF"/>
        </w:rPr>
        <w:t>组织相关专家组成评委会，制定评审细则、评审工作流程和评委守则，完成初评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5"/>
          <w:szCs w:val="25"/>
          <w:shd w:val="clear" w:fill="FFFFFF"/>
          <w:lang w:val="en-US" w:eastAsia="zh-CN"/>
        </w:rPr>
        <w:t>和</w:t>
      </w: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15"/>
          <w:sz w:val="25"/>
          <w:szCs w:val="25"/>
          <w:shd w:val="clear" w:fill="FFFFFF"/>
        </w:rPr>
        <w:t>复评工作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5"/>
          <w:szCs w:val="25"/>
          <w:shd w:val="clear" w:fill="FFFFFF"/>
          <w:lang w:eastAsia="zh-CN"/>
        </w:rPr>
        <w:t>，</w:t>
      </w: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15"/>
          <w:sz w:val="25"/>
          <w:szCs w:val="25"/>
          <w:shd w:val="clear" w:fill="FFFFFF"/>
        </w:rPr>
        <w:t>确保公开、公平、公正评审。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caps w:val="0"/>
          <w:color w:val="333333"/>
          <w:spacing w:val="8"/>
          <w:sz w:val="24"/>
          <w:szCs w:val="24"/>
          <w:shd w:val="clear" w:fill="FFFFFF"/>
        </w:rPr>
        <w:t>评审出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的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caps w:val="0"/>
          <w:color w:val="333333"/>
          <w:spacing w:val="8"/>
          <w:sz w:val="24"/>
          <w:szCs w:val="24"/>
          <w:shd w:val="clear" w:fill="FFFFFF"/>
        </w:rPr>
        <w:t>优秀作品将适时进行网上展出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caps w:val="0"/>
          <w:color w:val="333333"/>
          <w:spacing w:val="8"/>
          <w:sz w:val="24"/>
          <w:szCs w:val="24"/>
          <w:shd w:val="clear" w:fill="FFFFFF"/>
        </w:rPr>
        <w:t>并结集成册。优秀书画作品还将参加校训主题艺术作品联展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举办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caps w:val="0"/>
          <w:color w:val="333333"/>
          <w:spacing w:val="8"/>
          <w:sz w:val="24"/>
          <w:szCs w:val="24"/>
          <w:shd w:val="clear" w:fill="FFFFFF"/>
        </w:rPr>
        <w:t>作品捐赠仪式，并向优秀作品作者颁发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南京航空航天大学的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caps w:val="0"/>
          <w:color w:val="333333"/>
          <w:spacing w:val="8"/>
          <w:sz w:val="24"/>
          <w:szCs w:val="24"/>
          <w:shd w:val="clear" w:fill="FFFFFF"/>
        </w:rPr>
        <w:t>收藏证书。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Style w:val="7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fill="FFFFFF"/>
        </w:rPr>
        <w:t>六、征稿日期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" w:firstLineChars="20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自本启事发布之日起至2020年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月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日截止。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Style w:val="7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fill="FFFFFF"/>
        </w:rPr>
        <w:t>七、投稿地址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" w:firstLineChars="20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邮编：21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1106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" w:firstLineChars="20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地址：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南京航空航天大学将军路校区艺术学院一楼砚湖书院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" w:firstLineChars="200"/>
        <w:jc w:val="both"/>
        <w:rPr>
          <w:rFonts w:hint="default" w:eastAsia="Microsoft YaHei UI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邮箱：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497051261@qq.com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" w:firstLineChars="20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联系人：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郭洪豹、王剑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" w:firstLineChars="200"/>
        <w:jc w:val="both"/>
        <w:rPr>
          <w:rFonts w:hint="default" w:eastAsia="Microsoft YaHei UI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联系电话：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025—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52119779   15195972756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spacing w:beforeLines="50"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附：作品征集信息表</w:t>
      </w:r>
    </w:p>
    <w:p>
      <w:pPr>
        <w:spacing w:line="5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“校训中的南航精神”文化系列艺术作品联展</w:t>
      </w:r>
    </w:p>
    <w:p>
      <w:pPr>
        <w:spacing w:line="5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作品征集信息表</w:t>
      </w:r>
    </w:p>
    <w:p>
      <w:pPr>
        <w:spacing w:beforeLines="5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作品编号：</w:t>
      </w:r>
    </w:p>
    <w:p>
      <w:pPr>
        <w:spacing w:beforeLines="50"/>
        <w:rPr>
          <w:rFonts w:hint="eastAsia" w:asciiTheme="minorEastAsia" w:hAnsiTheme="minorEastAsia"/>
          <w:b/>
          <w:sz w:val="24"/>
          <w:szCs w:val="24"/>
        </w:rPr>
      </w:pP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85"/>
        <w:gridCol w:w="1417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作品名称</w:t>
            </w:r>
          </w:p>
        </w:tc>
        <w:tc>
          <w:tcPr>
            <w:tcW w:w="1985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作品类别</w:t>
            </w:r>
          </w:p>
        </w:tc>
        <w:tc>
          <w:tcPr>
            <w:tcW w:w="3827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作者姓名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(如合作请用顿号隔开</w:t>
            </w:r>
            <w:r>
              <w:rPr>
                <w:rFonts w:hint="eastAsia" w:asciiTheme="minorEastAsia" w:hAnsiTheme="minorEastAsia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工作单位</w:t>
            </w:r>
          </w:p>
        </w:tc>
        <w:tc>
          <w:tcPr>
            <w:tcW w:w="382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详细地址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邮政编码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联系电话（手机）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电子邮箱</w:t>
            </w:r>
          </w:p>
        </w:tc>
        <w:tc>
          <w:tcPr>
            <w:tcW w:w="3827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95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作品完成时间</w:t>
            </w:r>
          </w:p>
          <w:p>
            <w:pPr>
              <w:spacing w:line="340" w:lineRule="exact"/>
              <w:ind w:firstLine="225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（具体年月）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作品尺寸</w:t>
            </w:r>
          </w:p>
        </w:tc>
        <w:tc>
          <w:tcPr>
            <w:tcW w:w="3827" w:type="dxa"/>
            <w:tcBorders>
              <w:lef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195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作品</w:t>
            </w:r>
            <w:r>
              <w:rPr>
                <w:rFonts w:hint="eastAsia" w:asciiTheme="minorEastAsia" w:hAnsiTheme="minorEastAsia"/>
              </w:rPr>
              <w:t>说明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（200字内）</w:t>
            </w:r>
          </w:p>
        </w:tc>
        <w:tc>
          <w:tcPr>
            <w:tcW w:w="7229" w:type="dxa"/>
            <w:gridSpan w:val="3"/>
          </w:tcPr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备注</w:t>
            </w:r>
          </w:p>
        </w:tc>
        <w:tc>
          <w:tcPr>
            <w:tcW w:w="7229" w:type="dxa"/>
            <w:gridSpan w:val="3"/>
          </w:tcPr>
          <w:p>
            <w:pPr>
              <w:rPr>
                <w:rFonts w:asciiTheme="minorEastAsia" w:hAnsiTheme="minorEastAsia"/>
              </w:rPr>
            </w:pPr>
          </w:p>
        </w:tc>
      </w:tr>
    </w:tbl>
    <w:p>
      <w:pP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/>
          <w:b/>
        </w:rPr>
        <w:t>注：作品编号由评委会填写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95EC0"/>
    <w:rsid w:val="0A7F7DB3"/>
    <w:rsid w:val="34F66480"/>
    <w:rsid w:val="443610B4"/>
    <w:rsid w:val="45AE0211"/>
    <w:rsid w:val="471071AF"/>
    <w:rsid w:val="6547193A"/>
    <w:rsid w:val="69B7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rPr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2020-08-10T02:23:00Z</dcterms:created>
  <dc:creator>win10</dc:creator>
  <cp:lastModifiedBy>孙吟吟</cp:lastModifiedBy>
  <dcterms:modified xsi:type="dcterms:W3CDTF">2020-08-12T10:17:33Z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